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59" w:rsidRPr="00E107F9" w:rsidRDefault="00E76F59" w:rsidP="00E107F9">
      <w:pPr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4E715E" w:rsidRPr="00E107F9" w:rsidRDefault="004E715E" w:rsidP="008D2718">
      <w:pPr>
        <w:pStyle w:val="ListParagraph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Based on the California Code of Regulations, Title 17, Division 2 Chapter 3 Community Services, Subchapter 19-Supported</w:t>
      </w:r>
      <w:r w:rsidR="008D2718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Living Services, Article 2-General Provisions, State Stature 58611(b)(1) which states "the Regional center shall not pay any costs incurred by a consumer receiving SLS in securing, occupying, or maintaining a home, rented, leased or owned by the consumer except when the executive director of the regional center has determined that: (l)Payment of the cost would result in savings to the state with respect to the cost meeting the consumer's overall services and support needs."</w:t>
      </w:r>
      <w:r w:rsidR="008D2718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Section (2) of this same statue, 58611(b) states "The costs cannot be paid by other means, including available natural or generic supports. </w:t>
      </w:r>
      <w:r w:rsidR="001B3D08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these situation the costs are limited to the following:</w:t>
      </w:r>
    </w:p>
    <w:p w:rsidR="001B3D08" w:rsidRPr="00E107F9" w:rsidRDefault="001B3D08" w:rsidP="001B3D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(A) Rental or utility security deposits;</w:t>
      </w:r>
    </w:p>
    <w:p w:rsidR="001B3D08" w:rsidRPr="00E107F9" w:rsidRDefault="001B3D08" w:rsidP="001B3D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(B) Rental or lease payments;</w:t>
      </w:r>
    </w:p>
    <w:p w:rsidR="001B3D08" w:rsidRPr="00E107F9" w:rsidRDefault="001B3D08" w:rsidP="001B3D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(C) Household utility costs;</w:t>
      </w:r>
    </w:p>
    <w:p w:rsidR="001B3D08" w:rsidRPr="00E107F9" w:rsidRDefault="001B3D08" w:rsidP="001B3D0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(D) Moving Fees; and</w:t>
      </w:r>
    </w:p>
    <w:p w:rsidR="001B3D08" w:rsidRDefault="001B3D08" w:rsidP="00E107F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(E) Non-adaptive and/or non-assistive household furnishings, appliances, and home maintenance or repair costs. </w:t>
      </w:r>
    </w:p>
    <w:p w:rsidR="00E107F9" w:rsidRPr="00E107F9" w:rsidRDefault="00E107F9" w:rsidP="00E107F9">
      <w:pPr>
        <w:ind w:left="1080"/>
        <w:jc w:val="both"/>
        <w:rPr>
          <w:rFonts w:ascii="Arial" w:hAnsi="Arial" w:cs="Arial"/>
          <w:color w:val="000000" w:themeColor="text1"/>
          <w:sz w:val="10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2718" w:rsidRPr="00E107F9" w:rsidRDefault="008D2718" w:rsidP="008D2718">
      <w:pPr>
        <w:pStyle w:val="ListParagraph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697B62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hen reviewing rental exception retrofitting requests, 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following must be considered and presented in a formal let</w:t>
      </w:r>
      <w:r w:rsidR="001B3D08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 of request from the vendor:</w:t>
      </w:r>
    </w:p>
    <w:p w:rsidR="00811843" w:rsidRPr="00E107F9" w:rsidRDefault="00811843" w:rsidP="00E107F9">
      <w:pPr>
        <w:pStyle w:val="ListParagraph"/>
        <w:ind w:left="360"/>
        <w:jc w:val="both"/>
        <w:rPr>
          <w:rFonts w:ascii="Arial" w:hAnsi="Arial" w:cs="Arial"/>
          <w:color w:val="000000" w:themeColor="text1"/>
          <w:sz w:val="10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1843" w:rsidRPr="00E107F9" w:rsidRDefault="00811843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last planning</w:t>
      </w:r>
      <w:r w:rsidR="00697B62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team meeting to discuss the need for the retrofitting</w:t>
      </w:r>
      <w:r w:rsid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B3D08" w:rsidRPr="00E107F9" w:rsidRDefault="001B3D08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Current IPP/IPP addendum where this was discussed and agreed upon by the planning team</w:t>
      </w:r>
      <w:r w:rsid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B3D08" w:rsidRPr="00E107F9" w:rsidRDefault="001B3D08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Amount being requested</w:t>
      </w:r>
      <w:r w:rsid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97B62" w:rsidRPr="00E107F9" w:rsidRDefault="001B3D08" w:rsidP="00E107F9">
      <w:pPr>
        <w:pStyle w:val="ListParagraph"/>
        <w:numPr>
          <w:ilvl w:val="0"/>
          <w:numId w:val="6"/>
        </w:numPr>
        <w:ind w:left="1080"/>
        <w:rPr>
          <w:rFonts w:ascii="Arial" w:eastAsia="Times New Roman" w:hAnsi="Arial" w:cs="Arial"/>
          <w:sz w:val="23"/>
          <w:szCs w:val="23"/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Identification of what the request is </w:t>
      </w:r>
      <w:r w:rsidR="00811843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697B62" w:rsidRPr="00E107F9">
        <w:rPr>
          <w:rFonts w:ascii="Arial" w:eastAsia="Times New Roman" w:hAnsi="Arial" w:cs="Arial"/>
          <w:sz w:val="23"/>
          <w:szCs w:val="23"/>
        </w:rPr>
        <w:t>(ie. Non-breakable replacement windows or shatter resistant film, reinforced walls, moistur</w:t>
      </w:r>
      <w:r w:rsidR="00E107F9">
        <w:rPr>
          <w:rFonts w:ascii="Arial" w:eastAsia="Times New Roman" w:hAnsi="Arial" w:cs="Arial"/>
          <w:sz w:val="23"/>
          <w:szCs w:val="23"/>
        </w:rPr>
        <w:t>e resistant flooring etc.</w:t>
      </w:r>
      <w:r w:rsidR="00697B62" w:rsidRPr="00E107F9">
        <w:rPr>
          <w:rFonts w:ascii="Arial" w:eastAsia="Times New Roman" w:hAnsi="Arial" w:cs="Arial"/>
          <w:sz w:val="23"/>
          <w:szCs w:val="23"/>
        </w:rPr>
        <w:t xml:space="preserve">). </w:t>
      </w:r>
    </w:p>
    <w:p w:rsidR="00E74805" w:rsidRPr="00E107F9" w:rsidRDefault="00E74805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 overview and history</w:t>
      </w:r>
      <w:r w:rsidR="00697B62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7B62" w:rsidRPr="00E107F9">
        <w:rPr>
          <w:rFonts w:ascii="Arial" w:hAnsi="Arial" w:cs="Arial"/>
          <w:sz w:val="23"/>
          <w:szCs w:val="23"/>
        </w:rPr>
        <w:t>including documentation of severity of past property destruction and injury.</w:t>
      </w:r>
    </w:p>
    <w:p w:rsidR="001B3D08" w:rsidRPr="00E107F9" w:rsidRDefault="00E74805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Identifications of health and safety concerns that has pre</w:t>
      </w:r>
      <w:r w:rsidR="00697B62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sented the need for retrofitting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11843" w:rsidRPr="00E107F9" w:rsidRDefault="00811843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Explanation of why other more cost effective arrangements are not appropriate/available at this time</w:t>
      </w:r>
      <w:r w:rsid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74805" w:rsidRPr="00E107F9" w:rsidRDefault="00811843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E74805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revious living arrangements and outcomes</w:t>
      </w:r>
      <w:r w:rsid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74805" w:rsidRPr="00E107F9" w:rsidRDefault="00E74805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Current living situations and environmental factors that poses a health and safety to the clients and or surrounding communities</w:t>
      </w:r>
      <w:r w:rsid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C000C" w:rsidRPr="00E107F9" w:rsidRDefault="008C000C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Explanation of medical, behavioral, or psychiatric condition that presents a health and safety risk to the client or others.</w:t>
      </w:r>
    </w:p>
    <w:p w:rsidR="00E74805" w:rsidRPr="00E107F9" w:rsidRDefault="00E74805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Explanation of </w:t>
      </w:r>
      <w:r w:rsidR="008C000C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how the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payment of the </w:t>
      </w:r>
      <w:r w:rsidR="00697B62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retrofitting 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cost</w:t>
      </w:r>
      <w:r w:rsidR="00697B62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would result in savings to the State with respects to the client’s overall services and support needs.</w:t>
      </w:r>
    </w:p>
    <w:p w:rsidR="0067556D" w:rsidRPr="00E107F9" w:rsidRDefault="00811843" w:rsidP="00E107F9">
      <w:pPr>
        <w:pStyle w:val="ListParagraph"/>
        <w:numPr>
          <w:ilvl w:val="0"/>
          <w:numId w:val="4"/>
        </w:numPr>
        <w:ind w:left="1080"/>
        <w:jc w:val="both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Explanation of future plans to assist the client</w:t>
      </w:r>
      <w:r w:rsidR="00697B62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safely occupy and</w:t>
      </w:r>
      <w:r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maintaining a home that is leased. Rented or owned by the client. </w:t>
      </w:r>
    </w:p>
    <w:p w:rsidR="00E107F9" w:rsidRPr="00E107F9" w:rsidRDefault="00E107F9" w:rsidP="00E76F59">
      <w:pPr>
        <w:jc w:val="center"/>
        <w:rPr>
          <w:rFonts w:ascii="Arial" w:hAnsi="Arial" w:cs="Arial"/>
          <w:color w:val="000000" w:themeColor="text1"/>
          <w:sz w:val="10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CD4" w:rsidRPr="00E107F9" w:rsidRDefault="00E107F9" w:rsidP="00E76F59">
      <w:pPr>
        <w:jc w:val="center"/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These Attachments need</w:t>
      </w:r>
      <w:r w:rsidR="00A25CD4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submitted </w:t>
      </w:r>
      <w:r w:rsidR="00E76F59" w:rsidRPr="00E107F9">
        <w:rPr>
          <w:rFonts w:ascii="Arial" w:hAnsi="Arial" w:cs="Arial"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the request</w:t>
      </w:r>
    </w:p>
    <w:p w:rsidR="00E76F59" w:rsidRPr="00E107F9" w:rsidRDefault="00E76F59" w:rsidP="00E76F59">
      <w:pPr>
        <w:pStyle w:val="ListParagraph"/>
        <w:jc w:val="both"/>
        <w:rPr>
          <w:rFonts w:ascii="Arial" w:hAnsi="Arial" w:cs="Arial"/>
          <w:color w:val="000000" w:themeColor="text1"/>
          <w:sz w:val="10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7B62" w:rsidRPr="00E107F9" w:rsidRDefault="00697B62" w:rsidP="00697B6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  <w:u w:val="single"/>
        </w:rPr>
      </w:pPr>
      <w:r w:rsidRPr="00E107F9">
        <w:rPr>
          <w:rFonts w:ascii="Arial" w:hAnsi="Arial" w:cs="Arial"/>
          <w:sz w:val="23"/>
          <w:szCs w:val="23"/>
        </w:rPr>
        <w:t>Itemized description and proposed costs for retrofitting to be completed</w:t>
      </w:r>
      <w:r w:rsidR="00E107F9">
        <w:rPr>
          <w:rFonts w:ascii="Arial" w:hAnsi="Arial" w:cs="Arial"/>
          <w:sz w:val="23"/>
          <w:szCs w:val="23"/>
        </w:rPr>
        <w:t>.</w:t>
      </w:r>
    </w:p>
    <w:p w:rsidR="00844266" w:rsidRPr="00E107F9" w:rsidRDefault="00697B62" w:rsidP="00E107F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  <w:u w:val="single"/>
        </w:rPr>
      </w:pPr>
      <w:r w:rsidRPr="00E107F9">
        <w:rPr>
          <w:rFonts w:ascii="Arial" w:hAnsi="Arial" w:cs="Arial"/>
          <w:sz w:val="23"/>
          <w:szCs w:val="23"/>
        </w:rPr>
        <w:t>Documentation of history to support need for the proposed retrofitting (Special incident/Shared information reports, behavior data</w:t>
      </w:r>
      <w:r w:rsidR="00E107F9">
        <w:rPr>
          <w:rFonts w:ascii="Arial" w:hAnsi="Arial" w:cs="Arial"/>
          <w:sz w:val="23"/>
          <w:szCs w:val="23"/>
        </w:rPr>
        <w:t xml:space="preserve"> tracking/summaries, m</w:t>
      </w:r>
      <w:r w:rsidRPr="00E107F9">
        <w:rPr>
          <w:rFonts w:ascii="Arial" w:hAnsi="Arial" w:cs="Arial"/>
          <w:sz w:val="23"/>
          <w:szCs w:val="23"/>
        </w:rPr>
        <w:t>onthly progress note</w:t>
      </w:r>
      <w:r w:rsidR="00D63947">
        <w:rPr>
          <w:rFonts w:ascii="Arial" w:hAnsi="Arial" w:cs="Arial"/>
          <w:sz w:val="23"/>
          <w:szCs w:val="23"/>
        </w:rPr>
        <w:t>Re</w:t>
      </w:r>
      <w:r w:rsidRPr="00E107F9">
        <w:rPr>
          <w:rFonts w:ascii="Arial" w:hAnsi="Arial" w:cs="Arial"/>
          <w:sz w:val="23"/>
          <w:szCs w:val="23"/>
        </w:rPr>
        <w:t>s</w:t>
      </w:r>
      <w:r w:rsidR="00E107F9">
        <w:rPr>
          <w:rFonts w:ascii="Arial" w:hAnsi="Arial" w:cs="Arial"/>
          <w:sz w:val="23"/>
          <w:szCs w:val="23"/>
        </w:rPr>
        <w:t>, etc.</w:t>
      </w:r>
      <w:r w:rsidRPr="00E107F9">
        <w:rPr>
          <w:rFonts w:ascii="Arial" w:hAnsi="Arial" w:cs="Arial"/>
          <w:sz w:val="23"/>
          <w:szCs w:val="23"/>
        </w:rPr>
        <w:t>)</w:t>
      </w:r>
      <w:r w:rsidR="00E107F9">
        <w:rPr>
          <w:rFonts w:ascii="Arial" w:hAnsi="Arial" w:cs="Arial"/>
          <w:sz w:val="23"/>
          <w:szCs w:val="23"/>
        </w:rPr>
        <w:t>.</w:t>
      </w:r>
    </w:p>
    <w:sectPr w:rsidR="00844266" w:rsidRPr="00E107F9" w:rsidSect="00E107F9">
      <w:headerReference w:type="default" r:id="rId7"/>
      <w:pgSz w:w="12240" w:h="15840"/>
      <w:pgMar w:top="1008" w:right="1008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B0B" w:rsidRDefault="00BA4B0B" w:rsidP="009B6FEA">
      <w:r>
        <w:separator/>
      </w:r>
    </w:p>
  </w:endnote>
  <w:endnote w:type="continuationSeparator" w:id="0">
    <w:p w:rsidR="00BA4B0B" w:rsidRDefault="00BA4B0B" w:rsidP="009B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B0B" w:rsidRDefault="00BA4B0B" w:rsidP="009B6FEA">
      <w:r>
        <w:separator/>
      </w:r>
    </w:p>
  </w:footnote>
  <w:footnote w:type="continuationSeparator" w:id="0">
    <w:p w:rsidR="00BA4B0B" w:rsidRDefault="00BA4B0B" w:rsidP="009B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F3" w:rsidRDefault="009F65F3" w:rsidP="009F65F3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Supported Living Services (SLS)</w:t>
    </w:r>
  </w:p>
  <w:p w:rsidR="009B6FEA" w:rsidRPr="009F65F3" w:rsidRDefault="009F65F3" w:rsidP="009F65F3">
    <w:pPr>
      <w:pStyle w:val="Header"/>
      <w:jc w:val="center"/>
      <w:rPr>
        <w:rFonts w:ascii="Arial" w:hAnsi="Arial" w:cs="Arial"/>
        <w:b/>
      </w:rPr>
    </w:pPr>
    <w:r w:rsidRPr="009F65F3">
      <w:rPr>
        <w:rFonts w:ascii="Arial" w:hAnsi="Arial" w:cs="Arial"/>
        <w:b/>
      </w:rPr>
      <w:t xml:space="preserve">Rental Exception Retrofitting </w:t>
    </w:r>
    <w:r>
      <w:rPr>
        <w:rFonts w:ascii="Arial" w:hAnsi="Arial" w:cs="Arial"/>
        <w:b/>
      </w:rPr>
      <w:t>Request</w:t>
    </w:r>
    <w:r w:rsidRPr="009F65F3">
      <w:rPr>
        <w:rFonts w:ascii="Arial" w:hAnsi="Arial" w:cs="Arial"/>
        <w:b/>
      </w:rPr>
      <w:t xml:space="preserve"> Requirements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4F4"/>
    <w:multiLevelType w:val="hybridMultilevel"/>
    <w:tmpl w:val="4CCE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211E"/>
    <w:multiLevelType w:val="hybridMultilevel"/>
    <w:tmpl w:val="09BA9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2EB"/>
    <w:multiLevelType w:val="hybridMultilevel"/>
    <w:tmpl w:val="0C4AC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123A9"/>
    <w:multiLevelType w:val="hybridMultilevel"/>
    <w:tmpl w:val="8A44D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837AB6"/>
    <w:multiLevelType w:val="hybridMultilevel"/>
    <w:tmpl w:val="ED1E5FA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B2"/>
    <w:rsid w:val="000130DF"/>
    <w:rsid w:val="00166316"/>
    <w:rsid w:val="001B3D08"/>
    <w:rsid w:val="004E715E"/>
    <w:rsid w:val="00504234"/>
    <w:rsid w:val="0067556D"/>
    <w:rsid w:val="00697B62"/>
    <w:rsid w:val="00771C6C"/>
    <w:rsid w:val="007900E9"/>
    <w:rsid w:val="00811843"/>
    <w:rsid w:val="00844266"/>
    <w:rsid w:val="008C000C"/>
    <w:rsid w:val="008D2718"/>
    <w:rsid w:val="009B6FEA"/>
    <w:rsid w:val="009F65F3"/>
    <w:rsid w:val="00A25CD4"/>
    <w:rsid w:val="00B24FB2"/>
    <w:rsid w:val="00BA4B0B"/>
    <w:rsid w:val="00D63947"/>
    <w:rsid w:val="00E107F9"/>
    <w:rsid w:val="00E3461C"/>
    <w:rsid w:val="00E74805"/>
    <w:rsid w:val="00E76F59"/>
    <w:rsid w:val="00F0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9C9D8-D0EA-40E5-8D12-A912251F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FB2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9B6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FEA"/>
    <w:rPr>
      <w:sz w:val="24"/>
      <w:szCs w:val="24"/>
    </w:rPr>
  </w:style>
  <w:style w:type="paragraph" w:styleId="Footer">
    <w:name w:val="footer"/>
    <w:basedOn w:val="Normal"/>
    <w:link w:val="FooterChar"/>
    <w:rsid w:val="009B6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6F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Darline Dupree</dc:creator>
  <cp:keywords/>
  <dc:description/>
  <cp:lastModifiedBy>Rhonda Davenport</cp:lastModifiedBy>
  <cp:revision>2</cp:revision>
  <dcterms:created xsi:type="dcterms:W3CDTF">2019-10-02T23:25:00Z</dcterms:created>
  <dcterms:modified xsi:type="dcterms:W3CDTF">2019-10-02T23:25:00Z</dcterms:modified>
</cp:coreProperties>
</file>